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кооператив обратился в суд с заявлением о включении в реестр требований кредиторов должника (далее – реестр) его требования в размере 327 369 659 рублей 76 копеек. Впоследствии требования кооператива в размере 188 216 956 рублей 60 копеек выделены в отдельное производство, а в рамках настоящего обособленного спора подлежали рассмотрению требования в размере 139 158 703 рубля 16 копеек. Определением Арбитражного суда Волгоградской области от 19.05.2021, оставленным без изменения постановлениями Двенадцатого арбитражного апелляционного суда от 23.07.2021 и Арбитражного суда Поволжского округа от 02.12.2021,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а также результатами судебной экспертизы, пришли к выводу о недоказанности реальности отношений, положенных в основу требований кооператива в рассматриваемой в рамках данного обособленного спора части, и, как следствие, пришли к выводу об отсутствии оснований для включения указанных требований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сельскохозяйственному производственному кооперативу племзавод «Ромашковский»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