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01.06.2021, оставленным без изменения постановлениями Седьмого арбитражного апелляционного суда от 06.09.2021 и Арбитражного суда Западно-Сибирского округа от 13.12.2021,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на основании поступившего из прокуратуры требования издан приказ о проведении внеплановой выездной проверки общества, предметом которой является соблюдение обязательных требований и (или) требований, установленных муниципальными правовыми актами; проведение мероприятий по предотвращению причинения вреда окружающей среде. Обращаясь с заявлением об оспаривании приказа управления о проведении проверки, общество со ссылкой на решение Томского межрайонного природоохранного прокурора о проведении проверки общества указывает на фактическое назначение двух внеплановых проверок в отношении него по одному и тому же предмету. Оценив представленные доказательства по правилам главы 7 Арбитражного процессуального кодекса Российской Федерации,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Закон № 294-ФЗ), Федерального закона от 17.01.1992 № 2202-1 «О прокуратуре Российской Федерации», суды пришли к выводу об отсутствии нарушений требований Закона № 294-ФЗ при вынесении оспариваемого приказа со стороны управления. Судебные инстанции исходили из того, что осуществление прокуратурой проверочных мероприятий в рамках прокурорского надзора и назначение внеплановой выездной проверки управлением не нарушает требований пункта 5 части 1 статьи 3 Закона № 294-ФЗ. Отклоняя доводы общества, суды указали, что предмет проверки, проводимой на основании оспариваемого приказа (соблюдение обязательных требований и (или) требований, установленных муниципальными правовыми актами; проведение мероприятий по предотвращению причинения вреда окружающей среде в рамках государственного экологического надзора), отличается от предмета проверки, проведенной Томской межрайонной природоохранной прокуратурой Томской области (соблюдение требований Земельного кодекса Российской Федерации, Федерального закона от 10.01.2002 № 7-ФЗ «Об охране окружающей среды», Федерального закона от 24.06.1998 № 89-ФЗ «Об отходах производства и потребления» и иных нормативных правовых актов при обращении на территории Томской области с отходами животноводства, образующимися в ходе производственной деятельности общества, в рамках прокурорского надзора за исполнением законов). Доводы общества, изложенные в кассационной жалобе,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Аграрная Группа»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