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04.04.2022 обратился в Верховный Суд Российской Федерации с жалобой на определение судьи Верховного Суда Российской Федерации от 27.12.2021 № 310-ЭС21-24233, решение Арбитражного суда Брянской области от 18.02.2021, постановление Двадцатого арбитражного апелляционного суда от 23.04.2021 и постановление Арбитражного суда Центрального округа от 27.08.2021 по делу № А09-12034/2019,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ФИО1 о восстановлении пропущенного процессуального срока отказать. Жалобу возвратить заявителю.Судья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