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ФИО2 обратился в суд с жалобой, в которой просил признать незаконными действия (бездействие) конкурсного управляющего должником ФИО3, выразившиеся в несвоевременном распределении денежных средств должника в порядке статьи 134 Федерального закона от 26.10.2002 № 127-ФЗ «О несостоятельности (банкротстве)» (далее – Закон о банкротстве). Определением Арбитражного суда Саратовской области от 28.07.2021, оставленным без изменения постановлением Двенадцатого арбитражного апелляционного суда от 27.09.2021, жалоба удовлетворена. Постановлением Арбитражного суда Поволжского округа от 09.12.2021 данные судебные акты отменены, в удовлетворении жалобы отказано.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спору судебные акты и отказывая в удовлетворении жалобы, суд округа, руководствуясь статьями 20.3 , 129 , 142 Закона о банкротстве, исходил из того, что нераспределение вырученных от реализации имущества денежных средств до момента установления актуальных сведений о непогашенной задолженности вызвано объективными обстоятельствами, являлось разумным и не свидетельствовало о недобросовестном бездействии конкурсного управляющего, нарушении им прав и законных интересов должника, кредиторов и заявителя.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