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2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Оценив приведенные предпринимателем причины пропуска процессуального срока подачи кассационной жалобы, учитывая, что ходатайство заявлено в пределах шести месяцев со дня вступления в силу последнего обжалуемого судебного акта, принятого по данному делу, судья усматривает основания для восстановления пропущенного процессуального срока на подачу кассационной жалобы.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Должиковой Анастасии Александровны удовлетворить. Срок подачи кассационной жалобы на решение Арбитражного суда города Москвы от 02.07.2021, постановление Девятого арбитражного апелляционного суда от 18.10.2021 и постановление Арбитражного суда Московского округа от 01.02.2022 по делу № А40-81348/2020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