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Рощин О.П. и Пильщиков И.В. обратились в суд с заявлением о включении в реестр требований кредиторов должника (далее – реестр) требований в размере 6 581 250 рублей, просили признать требования обеспеченными залогом нежилого помещения (2/3 – за Рощиным О.П., 1/3 – за Пильщиковым И.В.) в здании по адресу: г. Санкт-Петербург, проспект Королева, д. 73, пом. 35-Н, кадастровый номер 78:34:0004281:19789, этаж – № 1. Определением Арбитражного суда города Санкт – Петербурга и Ленинградской области от 02.07.2021 требование Рощина О.П. в сумме 4 387 500 рублей включено в четвёртую очередь реестра обеспеченное залогом нежилого помещения; требование Пильщикова И.В. в сумме 2 193 750 рублей включено в четвёртую очередь реестра обеспеченное залогом нежилого помещения. Постановлением Тринадцатого арбитражного апелляционного суда от 24.09.2021, оставленным без изменения постановлением Арбитражного суда Северо-Западного округа от 13.12.2021, данное определение отменено, требования в заявленных размерах признаны обоснованными и включены в четвёртую очередь реестра без признания их обеспеченными залогом имущества должника. 2 В кассационной жалобе, поданной в Верховный Суд Российской Федерации, заявители просят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 руководствовались пунктом 2 статьи 8.1 Гражданского кодекса Российской Федерации, статьями 100, 201.1 Федерального закона от 26.10.2002 № 127-ФЗ «О несостоятельности (банкротстве)» и исходили из того, что требования заявителей подтверждены документально и подлежат включению в реестр. Поскольку лежащий в основе требований договор не прошёл государственную регистрацию, к спорным правоотношениям не применимы положения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о возникновении залога в силу закона, в связи с чем в признании требований обеспеченными залогом имущества должника обосновано отказано.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Рощину Олегу Петровичу и Пильщикову Игорю Валентиновичу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