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концерн обратился в суд с заявлением о включении в реестр требований кредиторов должника (далее – реестр) требования в размере 9 071 502 рубля 06 копеек, а также расходов по оплате государственной пошлины. Определением Арбитражного суда Алтайского края от 15.07.2021, оставленным без изменения постановлениями Седьмого арбитражного апелляционного суда от 22.09.2021 и Арбитражного суда Западно-Сибирского округа от 10.12.2021, заявление удовлетворено частично. Требование концерна в размере 4 606 471 рубль 28 копеек задолженности по договорам займа, 1 099 556 рублей 61 копейка процентов за пользование займом, 97 622 рубля 26 копеек государственной пошлины, 55 000 рублей основного долга в связи с исполнением обязательств за должника перед третьим лицом, 3 235 255 рублей 18 копеек неустойки, процентов за пользование чужими денежными средствами признано обоснованным и подлежащим удовлетворению в очерёдности, предшествующей распределению ликвидационной квоты; производство в части включения в реестр требования в размере 3 000 рублей государственной пошлины прекращено.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его требования в третью очередь реестра (без понижения очерёдности). Исходя из доводов кассационной жалобы, заявитель не согласен с обжалуемыми судебными актами в части понижения очерёдности удовлетворения его требования.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установив фактические обстоятельства заинтересованности должника и его акционера – концерна, предоставления последним компенсационного финансирования в период нахождения должника в кризисной ситуации и осведомлённости об этом заявителя, понизили очерёдность удовлетворения заявленных требований. Выводы судов в обжалуемой части соответствуют нормам права, оснований для переоценки выводов судов по доводам жалобы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«Концерн «Созвездие»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