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«СанТехМонтаж» (далее – общество) обратилось в Арбитражный суд Оренбургской области с исковым заявлением к обществу с ограниченной ответственностью «Сеть» (далее - компания) о взыскании 265 818 руб. 29 коп. задолженности по договору субподряда от 01.08.2017, 173 845 руб. 16 коп. неустойки. Компания предъявила встречный иск о взыскании с общества неосновательного обогащения в размере 321 706 руб. 07 коп., процентов за пользование чужими денежными средствами в размере 59 971 руб. 67 коп. с продолжением начисления процентов с 10.07.2020 по день фактического исполнения обязательства, задолженности за генподрядные услуги в размере 159 231 руб. 54 коп., неустойки за нарушение срока производства работ за период с 29.08.2017 по 21.11.2017 в размере 123 042 руб. 56 коп. Решением Арбитражного суда Оренбургской области от 17.07.2020, оставленным без изменения постановлением Восемнадцатого арбитражного апелляционного суда от 29.09.2020 и постановлением Арбитражного суда Уральского округа от 22.01.2021, в удовлетворении первоначальных исковых требований отказано; встречные исковые требования удовлетворены частично, с общества в пользу компании взыскано неосновательное обогащение в размере 321 706 руб. 07 коп., проценты за пользование чужими денежными средствами в размере 59 971 руб. 67 коп., задолженность за генподрядные услуги в размере 71 728 руб. 10 коп., неустойка в размере 123 042 руб. 56 коп., судебные расходы по уплате государственной пошлины в размере 14 134 руб. Компания обратилась в арбитражный суд с заявлением о взыскании с общества 181 000 руб. судебных расходов на оплату услуг представителя. Определением Арбитражного суда Оренбургской области от 24.06.2021, оставленным без изменения постановлением Восемнадцатого арбитражного апелляционного суда от 08.09.2021 и постановлением Арбитражного суда Уральского округа от 08.12.2021, с общества в пользу компании взыскано 77 000 руб. в возмещение судебных издержек по оплате услуг представителя, в удовлетворении остальной части заявления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компанией судебных расходов в заявленном размере, учитывая характер спора, степень сложности дела и продолжительность его рассмотрения, объем выполненной представителем работы, принципы разумности и соразмерности возмещения судебных расходов, суды первой и апелляционной инстанций пришли к выводу о наличии оснований для частичного удовлетворения заявления компании и взыскании с общества расходов в сумме 77 000 руб.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«СанТехМонтаж»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