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11.06.2021, оставленным без изменения постановлением Восьмого арбитражного апелляционного суда от 30.08.2021 и постановлением Арбитражного суда Западно-Сибирского округа от 07.12.2021, в удовлетворении заявления отказано. В кассационной жалобе Шкурченко Т.И. просит об отмене судебных актов, ссылаясь на игнорирование судами недобросовестных действий кредитора.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спорное требование основано на поручительстве должника, включено в его реестр по своевременно поданному кредитором заявлению, подтверждено выданным судом исполнительным документом, и, руководствуясь пунктом 6 статьи 16, статьями 60, 100, 142 Федерального закона от 26.10.2002 № 127-ФЗ «О несостоятельности (банкротстве)», признали не могущим быть исключенным из реестра. Доводы кассационной жалобы не подтверждают нарушения норм права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Шкурченко Т.И.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