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17.06.2021, оставленным без изменения постановлением Четырнадцатого арбитражного апелляционного суда от 20.09.2021 и постановлением Арбитражного суда Северо-Западного округа от 13.12.2021, исковое требование удовлетворено. В кассационной жалобе, поданной в Верховный Суд Российской Федерации, управление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(хранитель) и управлением (поклажедатель) заключен государственный контракт на оказание услуг по хранению арестованных и изъятых в рамках исполнительных производств легковых автотранспортных средств на территории города Череповца для нужд управления. На основании указанного контракта транспортное средство, арестованное и изъятое в рамках возбужденных в отношении должника исполнительных производств, передано управлением обществу для ответственного хранения и помещено на принадлежащую хранителю специализированную стоянку. Транспортное средство находилось на стоянке с 01.01.2017 по 02.08.2019 включительно, что подтверждается журналом учета транспортных средств и управлением не оспаривается. Плата за ответственное хранение автомобиля на специализированной стоянке за период с 01.01.2017 по 02.08.2019 произведена не была, сумма задолженности за данную услугу составила 47 200 рублей (944 дней *50 рублей в сутки). Претензия о погашении задолженности оставлена управлением без удовлетворения, что послужило основанием для обращения общества с настоящим иском в арбитражный суд. Удовлетворяя исковое требование, суды трех инстанций, оценив представленные в материалы дела доказательства, руководствуясь положениями статей 309 , 310 , 886 , 889 , 896 Гражданского кодекса Российской Федерации, пришли к выводу о наличии оснований для оплаты хранения транспортного средства за счет бюджетных средств. Судебные инстанции исходили из доказанности обществом оказания услуг по хранению и возврату вверенной ему вещи по требованию поклажедателя, их стоимости и невозможности оплаты за счет средств должника. Кроме того, суды указали о соответствии понесенных истцом судебных расходов на представителя критерию разумности. В кассационной жалобе управление, не оспаривая факта и стоимости оказания услуг, ссылается на отсутствие оснований для оплаты хранения за счет средств федерального бюджета, а также на несоразмерность заявленных обществом судебных расходов. Приведенные доводы сводятся к повторению позиции управления по спору, были предметом рассмотрения судов и получили надлежащую правовую оценку с учетом установленных обстоятельств дела. Несогласие заявителя жалобы с выводами судов не означает допущенной при рассмотрении дела судебной ошибки, не свидетельствует о существенных нарушениях норм материального и процессуального права, повлиявших на исход дела, и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Вологодской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