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06.08.2021, оставленным без изменения постановлением Восьмого арбитражного апелляционного суда от 21.10.2021 и постановлением Арбитражного суда Западно-Сибирского округа от 24.01.2022, первоначальный иск удовлетворен, в удовлетворении встречного иска отказано. В кассационной жалобе общество просит об отмене судебных актов, ссылаясь на игнорирование доказательств отсутствия договорных отношений и нарушение права на защиту.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возражения общества об отсутствии договора и оказания услуг не подтвержденными в процессуальном порядке через заявление о фальсификации доказательств и инициирование экспертизы, поэтому отказали во встречном иске. Отсутствие технической возможности проведения заседания посредством видеоконференц-связи и онлайн при уведомлении об этом общества, извещенного о рассмотрении дела, не является нарушением его права на судебную защиту.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