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29.06.2021, оставленным без изменения постановлениями Семнадцатого арбитражного апелляционного суда от 21.09.2021 и Арбитражного суда Уральского округа от 10.12.2021, исковое заявление удовлетворено.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корпорацией (покупатель) и обществом (продавец) заключен контракт на поставку оборудованияроботизированный сварочный комплекс. В обоснование иска корпорацией указано на нарушение продавцом условий контракта и предусмотренную пунктом 2.4.11 контракта возможность начисления процентов за пользование коммерческим кредитом. Оценив представленные в материалы дела доказательства, истолковав по правилам статьи 431 Гражданского кодекса Российской Федерации (далееГражданский кодекс) положение пункта 2.4.11 контракта в совокупности и системной взаимосвязи с иными его условиями, суды, руководствуясь положениями статей 10 , 421 , 809 , 823 Гражданского кодекса Российской, принимая во внимание правовые позиции, изложенные в пункте 12 постановления Пленума Верховного Суда Российской Федерации и Пленума Высшего Арбитражного Суда Российской Федерации от 08.10.1998 № 13/14 «О практике применения положений Гражданского кодекса Российской Федерации о процентах за пользование чужими денежными средствами», пункте 10 постановления Пленума Высшего Арбитражного Суда Российской Федерации от 14.03.2014 № 16 «О свободе договора и ее пределах», пункте 33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пришли к выводу о наличии оснований для удовлетворения иска. Судебные инстанции исходили из того, что спорная сумма является платой за коммерческий кредит, не является мерой ответственности. При исследовании обстоятельств дела установлено, что при заключении спорного контракта стороны предусмотрели обязанность поставщика уплачивать проценты на сумму аванса в качестве платы за коммерческий кредит (статья 823 Гражданского кодекса), о чем свидетельствует буквальное содержание данного пункта контракта; заключая контракт, общество согласилось с его условиями, в том числе касающихся начисления процентов за пользование коммерческим кредитом, с предложением к покупателю об изменении условий контракта не обращалось. Вопреки позиции общества, по своей правовой природе проценты по коммерческому кредиту в отличие от неустойки и штрафа не являются мерой ответственности, в связи с чем требование о взыскании процентов является платой за пользование авансом как коммерческим кредитом (общество не оспаривает факт получения аванса), а требование о взыскании штрафных санкций, удовлетворенное по результатам рассмотрения спора по делу № А60-9491/2019, является ответственностью за ненадлежащее исполнение обязательств по договору. То обстоятельство, что начисление процентов поставлено в зависимость от просрочки исполнения поставщиком обязательств, в том числе к определенному договором сроку, то есть прекращение действия бесплатного (льготного) периода пользования авансом обусловлено исключительно действиями (бездействием) поставщика, не может быть истолковано в контексте применения дополнительной меры ответственности по отношению к штрафным санкциям, согласованным в контракте и взысканным на основании судебного решения. Выводы судов соответствуют правовой позиции, изложенной в определении Судебной коллегии по экономическим спорам Верховного Суда Российской Федерации от 19.12.2017 № 306-ЭС17-16139 о том, что если договор содержит условие о выплате процентов по коммерческому кредиту в случае ненадлежащего исполнения обязательства и за это же нарушение в нем предусмотрена неустойка, то проценты по коммерческому кредиту взыскиваются наряду с неустойкой. С учетом изложенного, приведенные в жалобе доводы не опровергают выводы судов и не подтверждают существенных нарушений норм материального и норм процессуального права, повлиявших на исход дела. По существу доводы жалобы основаны на ошибочном толковании положений законодательства и несогласии с установленными судами фактическими обстоятельствами спора,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«Белфингрупп»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 Судебная практика по: Злоупотребление правом Судебная практика по применению нормы ст. 10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