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12.08.2021, оставленным без изменения постановлением Пятого арбитражного апелляционного суда от 29.09.2021, оспариваемое постановление изменено в части назначенного наказания, размер административного штрафа снижен до 300 000 рублей. Постановлением Арбитражного суда Дальневосточного округа от 23.12.2021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статей 7 и 9.1 Российской Федерации от 01.04.1993 № 4730-1 «О Государственной границе Российской Федерации»,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штраф назначен ниже низшего размера санкции нормы. Доводы жалобы были предметом исследования судов и получили исчерпывающую правовую оценку исходя из установленных фактических обстоятельств дела, связанных с изменением географических координат места пересечения судном Государственной границы РФ без информирования органов пограничного контроля обществом. Указанные выводы судов в жалобе не опровергнуты. С учетом изложенного выводы судов не противоречат правовой позиции, изложенной в пункте 9 Информационного письма Президиума Высшего Арбитражного Суда Российской Федерации от 13.08.2004 № 81 «Обзор практики применения арбитражными судами Кодекса торгового мореплавания Российской Федерации».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