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31.07.2021, оставленным без изменения постановлением Восьмого арбитражного апелляционного суда от 22.09.2021 и постановлением Арбитражного суда Западно-Сибирского округа от 29.12.2021, заявление истца о взыскании с ответчика судебных расходов удовлетворено. В кассационной жалобе общество «УК «Стройдомсервис» просит о пересмотре судебных актов в отношении судебных расходов, ссылаясь на недоказанность несения их в связи с рассмотрением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Относимость расходов к рассматриваемому делу установлена судами в соответствии с компетенцией и не подлежит пересмотру в кассационном порядке.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«Стройдомсервис»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