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принятым при новом рассмотрении заявления определением Арбитражного суда города Москвы от 19.08.2021, оставленным без изменения постановлением Девятого арбитражного апелляционного суда от 02.11.2021 и постановлением Арбитражного суда Московского округа от 24.01.2022, договор признан недействительным, Алимов А.В. обязан возвратить в конкурсную массу должника 1 410 400 рублей. В кассационной жалобе Алимов А.В. просит об отмене судебных актов, ссылаясь на отсутствие у должника неисполненных денежных обязательств на момент заключения договора и пропуск срока исковой давности для признания сделки недействительной как оспоримой.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реализацию должником земельных участков по существенно заниженной цене, не могущую не насторожить приобретателя, оценка поведения которого в указанных обстоятельствах основана на статьях 10, 168 Гражданского кодекса Российской Федерации. К сделкам, признаваемым недействительными в силу названных норм, применяется срок исковой давности, предусмотренный пунктом 1 статьи 181 Гражданского кодекса Российской Федерации, начало течения которого для финансового управляющего определено по правилу статьи 200 Кодекса.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Алимову А.В.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