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города Москвы с иском о взыскании с акционерного общества «Московский завод «КРИСТАЛЛ» 722 550 рублей задолженности и 173 019 рублей 96 копеек неустойки по договору от 14.05.2020 № 2020-05/89 на оказание услуг по размещению продукции заказчика, а также расходов на оплату услуг представителя. Решением Арбитражного суда города Москвы от 02.07.2021 иск удовлетворен в части взыскания 540 315 рублей задолженности и 144 226 рублей 83 копеек неустойки; в удовлетворении иска в остальной части отказано; расходы на оплату услуг представителя взысканы в сумме 20 000 рублей, в удовлетворении требования в остальной части отказано. Постановлением Девятого арбитражного апелляционного суда от 13.09.2021 решение суда первой инстанции оставлено без изменения. Арбитражный суд Московского округа постановлением от 20.12.2021 указанные судебные акты оставил без изменения. Индивидуальный предприниматель Булгар Алексей Дмитриевич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признав доказанным факт оказания истцом услуг за период с октября по декабрь 2020 г., установив отсутствие доказательств фактического оказания услуг по спорному акту № 9 от 31.01.2021, руководствуясь положениями статей 309 , 310 , 330 , 421 , 431 , 702 , 779 , 780 , 782 Гражданского кодекса Российской Федерации, суды пришли к выводу о частичном удовлетворении заявленных требований. Доводы, изложенные в кассационной жалобе, относительно отказа во взыскании задолженности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Разрешая вопрос о взыскании судебных расходов, суды учли характер спора, степень сложности дела, продолжительность его рассмотрения, объем фактически оказанных услуг, результаты рассмотрения спора, относимость понесенных расходов к рассматриваемому делу и, руководствуясь статьей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установили разумную и обоснованную сумму затрат, понесенных заявителем в связи с рассмотрением дела, подлежащую взысканию. Доводы заявителя о необоснованном снижении размера понесенных им судебных расходов были предметом рассмотрения судов и получили надлежащую оценку.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