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25.05.2021, оставленным без изменения постановлениями Восьмого арбитражного апелляционного суда от 08.09.2021 и Арбитражного суда Западно-Сибирского округа от 13.12.2021, исковые требования удовлетворены.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(заказчик) и обществом (поставщик) заключен контракт на поставку общекотельного оборудования. В обоснование иска предприятие указало, что товар, поставленный обществом, не соответствует требованиям технического задания к контракту. Оценив представленные в материалы дела доказательства, суды, руководствуясь положениями статей 8 , 309 , 310 , 329 331 , 454 , 456 , 469 , 470 , 475 , 506 , 525 , 526 , 530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иска. Судебные инстанции исходили из поставки обществом товара, не соответствующего условиям контракта. Доводы кассационной жалобы о том, что технические характеристики электропривода не согласованы в контракте, об отсутствии замечаний со стороны комиссии при приемке товара направлены на переоценку установленных по делу обстоятельств,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«Автоматизация топливо – энергетического комплекса»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