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платежей на сумму 9 030 000 рублей как возврат займа (платёжный документ № 23), на сумму 2 084 307 рублей 32 копейки как возврат процентов (платёжный документ № 24) и на сумму 4 697 151 рубль 25 копеек как возврат пеней (платёжный документ № 25), совершенных с расчётного счёта должника в пользу общества с ограниченной ответственностью «Матрица СП» (далее – общество) по договору займа ДЗ-1 от 26.05.2016 и соглашению от 01.04.2018; применении последствий недействительности сделок. Определением Арбитражного суда города Москвы от 25.06.2021, оставленным без изменения постановлениями Девятого арбитражного апелляционного суда от 07.09.2021 и Арбитражного суда Московского округа от 14.12.2021,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исходили из недоказанности совокупности условий для признания недействительными оспариваемых платежей по заявленным основаниям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«Кинком» Смирнову Алексею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