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Архангельской области обратился должник с ходатайством об исключении из конкурсной массы ежемесячной выплаты в размере 9000 рублей на коммерческий найм жилого помещения. Определением Арбитражного суда Архангельской области от 29.01.2021 из конкурсной массы должника исключены денежные средства на оплату коммерческого найма жилого помещения в размере арендной платы, предусмотренной договором аренды от 01.06.2020, за минусом стоимости услуг по содержанию жилья и коммунальных услуг в соответствующем месяце. Постановлением Четырнадцатого арбитражного апелляционного суда от 12.11.2021 определение суда первой инстанции оставлено без изменения. Арбитражный суд Северо-Западного округа постановлением от 07.02.2022 указанные судебные акты оставил без изменения. Куракин Антон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213.25 Федерального закона Российской Федерации от 26.10.2002 № 127-ФЗ «О несостоятельности (банкротстве)» и исходили из возможности исключения из конкурсной массы денежных средств на оплату коммерческого найма жилого помещения в размере арендной платы, предусмотренной договором аренды, за вычетом стоимости услуг по содержанию жилья и коммунальных услуг в соответствующем месяце, поскольку эти расходы учтены в составе прожиточного минимума, в связи с чем не подлежат дополнительному исключению из конкурсной массы.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