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10.06.2021, оставленным без изменения постановлением Второго арбитражного апелляционного суда от 20.08.2021 и постановлением Арбитражного суда Волго-Вятского округа от 08.12.2021, в удовлетворении иска отказано вследствие пропуска срока исковой давности, о применении которой заявил ответчик. В кассационной жалобе общество «АЗС Автоматика» просит об отмене судебных актов, ссылаясь на неправильное определение начала течения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вопросе исчисления срока исковой давности суды руководствовались решением Октябрьского районного суда города Уфы Республики Башкортостан от 28.07.2017 по делу № 2-3144/2017, статьями 195 , 199 , пунктом 1 статьи 200 Гражданского кодекса Российской Федерации. Восстановление срока исковой давности к заявителю не применяется (статья 205 Кодекса).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«АЗС Автоматика»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