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30.03.2021, оставленным без изменения постановлениями Девятого арбитражного апелляционного суда от 25.06.2021 и Арбитражного суда Московского округа от 07.12.2021,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по всем налогам и сборам за период с 01.01.2013 по 31.12.2015 инспекцией вынесено оспариваемое решение, которым обществу доначислен НДС, начислены соответствующие суммы пеней по НДС и НДФЛ, а также предложено уменьшить налоговый убыток по налогу на прибыль организаций за 2013 - 2015 годы. Основанием для вынесения решения в оспариваемой части послужил вывод налогового органа о получении обществом необоснованной налоговой выгоды, в связи с неправомерным применением вычетов по НДС по операциям, связанным с приобретением работ по договорам подряда, заключенным с ООО «Строймашсервис» и ООО «Стройинвестрегион», а также неправомерным включением в состав расходов по налогу на прибыль затрат в виде процентов по кредитному договору, заключенному с ПАО «Банк Югра», и затрат по оплате подрядных работ по договору с ООО «Строймашсервис», что привело к недоплате в бюджет НДС и завышению убытка по налогу на прибыль организаций. Решением Управления Федеральной налоговой службы по городу Москве от 05.02.2020 № 21-10/022855, вынесенным по результатам рассмотрения жалобы общества, решение налогового органа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166 , 169 , 170 , 171 , 172 , 252 , 265 , 270 Налогового кодекса Российской Федерации (далее - Налоговый кодекс),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об отсутствии оснований для удовлетворения заявленных требований. Судебные инстанции исходили из доказанности факта создания видимости коммерческих взаимоотношений между налогоплательщиком и его контрагентами с целью получения необоснованной налоговой выгоды. При исследовании обстоятельств дела установлено отсутствие реальности хозяйственных операций (отсутствие у контрагентов общества производственных мощностей и квалифицированного персонала, необходимых для выполнения строительно-монтажных работ); непроявление налогоплательщиком должной степени осмотрительности и осторожности при заключении сделок со спорными контрагентами; имитация деятельности на различных рынках купли-продажи товаров (работ, услуг), в том числе ремонтных работ в интересах третьих лиц; наличие сведений о представлении налоговой отчетности контрагентами общества с минимальными показателями, которые не соотносятся с оборотами организаций. Кроме того, суды пришли к выводу о том, что понесенные обществом затраты в виде процентов по кредитному договору не могут быть признаны соответствующими требованиям пункта 1 статьи 252 Налогового кодекса и правомерно отнесенными на внереализационные расходы, поскольку произведены в интересах третьих лиц и не связаны с деятельностью, направленной на получение заявителем дохода. Отказывая в признании недействительным выставленного инспекцией требования об уплате налога, суды признали соблюденными сроки, установленные налоговым законодательством для осуществления принудительных мер по взысканию налога. При этом суды не усмотрели со стороны налогового органа существенных нарушений условий процедуры рассмотрения материалов налоговой проверки, поскольку налоговое законодательство не рассматривает нарушение налоговым органом установленного срока для рассмотрения материалов налоговой проверки и вынесения решения как безусловное основание для отмены решения (пункт 14 статьи 101 Налогового кодекса). Установление Налоговым кодексом сроков, в течение которых налоговый орган обязан рассмотреть материалы налоговой проверки, возражения налогоплательщика, представленные на акт проверки, и вынести решение, направлено на обеспечение прав и законных интересов налогоплательщика, гарантированных ему при проведении в отношении него мероприятий налогового контроля и оформлении их результатов. В связи с изложенным, нарушения процедуры рассмотрения материалов проверки могут быть основанием для отмены решения инспекции, только если они привели или могли привести к принятию неправомерного решения. Между тем, таких обстоятельств судами при рассмотрении спора не установлено. Приведенные в жалобе доводы общества о том, что несвоевременное вынесение решения налоговым органом повлекло увеличение размера начисленных ему пеней, подлежат отклонению, поскольку начисление пеней непосредственно связано с несвоевременной уплатой налогов в бюджет. До фактической уплаты налога в бюджет налогоплательщик неправомерно пользуется денежными средствами, причиняя потери бюджету, при этом извлекая для себя незаконные преимущества путем неосновательного сбережения имущества, что влечет соответственно его обязанность компенсировать потери бюджету в полном объеме. Конституционный Суд Российской Федерации неоднократно отмечал (постановление от 17.12.1996 N 20-П, определение от 08.02.2007 N 381-О-П), что по смыслу статьи 57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Иные приведенные в жалобе доводы являлись предметом рассмотрения судов и получили надлежащую правовую оценку,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«Опытный Механический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