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Сахалинской области от 17.08.2021, оставленным без изменения постановлением Пятого арбитражного апелляционного суда от 12.10.2021 и постановлением Арбитражного суда Дальневосточного округа от 21.12.2021, в удовлетворении заявления отказано. В кассационных жалобах общество просит об отмене судебных актов, ссылаясь на неправильную оценку доказательств, подтвержденность реальности правоотношений с должником, ошибочность выводов об аффилированности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исследовали правоотношения сторон, на которых основано заявленное требование и признали отсутствие у него реального характера, необходимого в силу статей 71, 100 Федерального закона от 26.10.2002 № 127-ФЗ «О несостоятельности (банкротстве)»,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в реестр. Требуемое обществом изменение оценки правоотношений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«Сахалинсельхозавтотранс»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