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Кручинин Алексей Михайлович обратился в суд с заявлением о признании незаконными действий конкурсного управляющего Шафигуллина Д.М. по произведенным выплатам с расчётного счёта должника, взыскании с него убытков в размере 206 169 рублей 90 копеек. Определением Арбитражного суда Оренбургской области от 13.06.2021, оставленным без изменения постановлениями Восемнадцатого арбитражного апелляционного суда от 10.08.2021 и Арбитражного суда Уральского округа от 20.12.2021,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Оренбургской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таких оснований не установлено. Разрешая спор, суды, руководствуясь статьями 20.3, 20.4, 60, 142 Федерального закона от 26.10.2002 № 127-ФЗ «О несостоятельности (банкротстве)», установив факт ненадлежащего исполнения заявителем возложенных на него обязанностей конкурсного управляющего должником, нарушения им очерёдности удовлетворения текущих требований, повлекших необоснованное расходование денежных средств из конкурсной массы, удовлетворили требования кредитора по заявленным основаниям и в установленном размере. Выводы судов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«Черемушки» Шафигуллину Дамиру Маратовичу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