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22.02.2021 в удовлетворении заявления отказано. При новом рассмотрении заявления Семнадцатый арбитражный апелляционный суд постановлением от 30.11.2021, оставленным без изменения постановлением Арбитражного суда Уральского округа от 09.02.2022, отменил определение от 22.02.2021 и включил задолженность в размере 2 166 465 рублей 75 копеек в третью очередь реестра требований кредиторов Караваева В.Г. В кассационной жалобе Мартиросян М.Р. просит об отмене судебных актов апелляционного и окружного судов, ссылаясь на неосновательное нерассмотрение спорного требования в совокупности с другими заявленными кредитором,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заново рассмотревший заявление, признал обоснованным требование кредитора как подтвержденное надлежащими доказательствами и соответствующее критериям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Мартиросяну М.Р.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