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27.05.2021 в удовлетворении заявления отказано. Семнадцатый арбитражный апелляционный суд постановлением от 07.10.2021, оставленным без изменения постановлением Арбитражного суда Уральского округа от 19.01.2022, включил задолженность в размере 2 166 465 рублей 75 копеек в третью очередь реестра. В кассационной жалобе Мартиросян М.Р. просит об отмене судебных актов апелляционного и окружного судов, ссылаясь на неосновательную оценку спорного требования независимо от других требований кредитора, ненадлежащую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обоснованным требование кредитора как подтвержденное надлежащими доказательствами и соответствующее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Мартиросяну М.Р.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