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13.05.2021, оставленным без изменения постановлением Четвертого арбитражного апелляционного суда от 13.09.2021 и постановлением Арбитражного суда Восточно-Сибирского округа от 15.12.2021, заявление удовлетворено. В кассационных жалобах Калашниковы Н.К. и А.М. просят об отмене судебных актов, ссылаясь на внутрисемейный характер сделки и отсутствие условий для признания ее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безвозмездное отчуждение имущества в пользу заинтересованного лица в ситуации наличия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Вопрос об исполнительском иммунитете предмета дарения в рамках спора о юридической силе сделки обсуждению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Калашниковой Надежде Константиновне и Калашникову Александру Михайловичу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