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16.06.2021, оставленным без изменения постановлением Девятого арбитражного апелляционного суда от 25.08.2021, в удовлетворении заявленного требования отказано. Постановлением Арбитражного суда Московского округа от 15.12.2021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39 , 146 , 149 , 154 , 170 Налогового кодекса Российской Федерации, статьи 10 Закона Российской Федерации от 27.11.1992 № 4015-1 «Об организации страхового дела в Российской Федерации», суды отказали в удовлетворении заявленных требований, признав, что общество неправомерно одновременно учитывало в полном объеме налог на добавленную стоимость в составе затрат при исчислении налога на прибыль и при определении налоговой базы в виде разницы между ценой реализации имущества с учетом уплаченного налога и стоимостью реализуемого имущества. Выводы судов не противоречат правовой позиции, изложенной в определении Конституционного Суда РФ от 28.12.2021 № 2973-О. Доводы кассационной жалобы были предметом исследования судов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