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11.03.2021, оставленным без изменения постановлением Девятого арбитражного апелляционного суда от 23.06.2021, в удовлетворении заявленного требования отказано. Постановлением Арбитражного суда Московского округа от 14.12.2021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39 , 146 , 149 , 154 , 170 Налогового кодекса Российской Федерации, статьи 10 Закона Российской Федерации от 27.11.1992 № 4015-1 «Об организации страхового дела в Российской Федерации», суды отказали в удовлетворении заявленных требований, признав, что общество неправомерно одновременно учитывало в полном объеме налог на добавленную стоимость в составе затрат при исчислении налога на прибыль и при определении налоговой базы в виде разницы между ценой реализации имущества с учетом уплаченного налога и стоимостью реализуемого имущества. Выводы судов не противоречат правовой позиции, изложенной в определении Конституционного Суда РФ от 28.12.2021 № 2973-О.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