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18.05.2021, оставленным без изменения постановлением Девятого арбитражного апелляционного суда от 17.08.2021, в удовлетворении требования отказано. Постановлением Арбитражного суда Московского округа от 07.12.2021 указанные судебные акты оставлены без изменения. Общество просит отменить обжалуемые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статьями 336 , 338 , 342 , 342.5 Налогового кодекса Российской Федерации, положениями Закона Российской Федерации от 21.02.1992 № 2395-1 «О недрах», суды отказали в удовлетворении заявленных требований, признав, что решение налогового органа в оспариваемой части соответствует положениям действующего законодательства и не нарушает права и законные интересы общества. При этом суды исходили из того, что определение степени выработанности запасов конкретного участка недр необходимо производить по всему участку недр, границы которого указаны в лицензии на право пользования недрами. Приведенные в жалобе доводы связаны с оценкой доказательств и установлением фактических обстоятельств по делу, что не относится к компетенции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