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05.07.2021, оставленным без изменения постановлением Четвертого арбитражного апелляционного суда от 26.08.2021, в удовлетворении требования отказано. Постановлением Арбитражного суда Восточно-Сибирского округа от 06.12.2021 указанные судебные акты оставлены без изменения. Общество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23 , 334 , 336 , 339 , 342 Налогового кодекса Российской Федерации, Закона Российской Федерации от 21.02.1992 № 2395-1 «О недрах», Федерального закона от 26.03.1998 № 41-ФЗ «О драгоценных металлах и драгоценных камнях», Правил учета и хранения драгоценных металлов, драгоценных камней и продукции из них, а также ведения соответствующей отчетности, утвержденные постановлением Правительства Российской Федерации от 28.09.2000 № 731, Правил утверждения нормативов потерь полезных ископаемых при добыче, технологически связанных с принятой схемой и технологией разработки месторождения, утвержденные постановлением Правительства Российской Федерации от 29.12.2001 № 921, суды отказали в удовлетворении требования, признав, что общество неправомерно применяло нормативы технологических потерь для мест образования, которые не предусмотрены технической документацией, из запасов, для которых проектная документация не утверждалась. Приведенные в жалобе доводы были предметом исследования судов и отклонены исходя из недоказанности наличия нормативов потерь полезного ископаемого в спорный период, технологически связанных с принятой схемой технологии разработки месторождения, которая отражена в проектной документации недропользователя. При этом исходя из принципа рационального недропользования недропользователь обязан обеспечить соблюдение требований технических проектов, планов и схем развития горных работ, недопущение сверхнормативных потерь и выборочной отработки полезного ископаемого.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