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заявлено предпринимателем в пределах установленного срока, суд считает возможным его удовлетворить и на основании части 2 статьи 291.2 АПК РФ восстановить пропущенный на один день процессуальный срок на подачу жалобы.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Ильяша Сергея Александровича удовлетворить. Срок подачи кассационной жалобы на решение Арбитражного суда Мурманской области от 19.05.2021, постановление Тринадцатого арбитражного апелляционного суда от 05.10.2021 и постановление Арбитражного суда Северо-Западного округа от 31.01.2022 по делу № А42-740/2021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