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18.05.2021, оставленным без изменения постановлением Девятого арбитражного апелляционного суда от 16.08.2021 и постановлением Арбитражного суда Московского округа 2 от 02.12.2021,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подряда от 25.12.2018 № ОСИ-123/18 и дополнительных соглашений к нему, установив факт выполнения компанией (подрядчик) работ и передачи их результата обществу (генподрядчик), признав необоснованным отказ последнего от подписания односторонних актов выполненных работ, учитывая отсутствие доказательств, свидетельствующих о выполнении работ ненадлежащего качества, а также их оплате, не усмотрев вины подрядчика в просрочке сдачи работ, руководствуясь статьями 307, 309, 310, 329, 330, 395, 401, 405, 406, 424, 702, 708, 711, 753 Гражданского кодекса Российской Федерации,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3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жалобу общества с ограниченной ответственностью «ОблСтройИнвест»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