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08.06.2021, оставленным без изменения постановлением Четырнадцатого арбитражного апелляционного суда от 30.08.2021 и постановлением Арбитражного суда Северо-Западного округа от 14.12.2021,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ставит вопрос об отмене судебных актов.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Новгородской области от 16.10.2020 по делу № А44-10659/2019 обществу отказано в удовлетворении заявления о признании недействительным предписания управления от 25.11.2019 № 710-2. Управлением на основании распоряжения от 10.02.2020 № 066 в период с 13.02.2020 по 13.03.2020 проведена внеплановая выездная проверка выполнения обществом ранее указанного предписания. В ходе проверки выявлено и отражено в акте от 17.02.2020 № 066, что предписание частично не исполнено. Об устранении вновь выявленных нарушений в срок до 26.03.2020 путем обеспечения прохождения предрейсового контроля технического состояния транспортных средств специалистом, соответствующим квалификационным требованиям, ведения журнала предрейсового контроля транспортных средств, а также внесения данных о предрейсовом техническом контроле в журнал учета контроля обществу выдано предписание от 17.02.2020 № 066-2. Не согласившись с ненормативным правовым актом управления, общество обратилось в арбитражный суд. Отказывая в удовлетворении заявленного требования, судебные инстанции, оценив представленные в материалы дела доказательства, руководствуясь положениями Федерального закона от 10.12.1995 № 196 - ФЗ «О безопасности дорожного движения», Федерального закона от 08.11.2007 № 259-ФЗ «Устав автомобильного транспорта и городского наземного электрического транспорта», приказом Министерства транспорта Российской 3 Федерации от 18.09.2008 № 152 «Об утверждении обязательных реквизитов и порядка заполнения путевых листов», Правилами обеспечения безопасности перевозок пассажиров и грузов автомобильным транспортом и городским наземным электрическим транспортом, утвержденными приказом Министерства транспорта Российской Федерации от 15.01.2014 № 7, пришли к выводу о том, что оспариваемое предписание соответствует действующему законодательству и не нарушает права и законные интересы заявителя. Суды исходили из того, что на момент проверки у общества отсутствовал журнал регистрации результатов контроля технического состояния транспортных средств; контролер технического состояния транспортных средств не имел необходимой квалификации, документы, подтверждающие наличие у него соответствующего образования, не представлены. Аналогичные обстоятельства установлены судом при рассмотрении дела № А44-10659/2019.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По существу доводы жалобы повторяют позицию общества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«Груз Авто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