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30.03.2022 обратился в Верховный Суд Российской Федерации с жалобой на определение судьи Верховного Суда Российской Федерации от 15.02.2022 № 305-ЭС21-23763, решение Арбитражного суда города Москвы от 11.02.2021, постановление Девятого арбитражного апелляционного суда от 31.05.2021 и постановление Арбитражного суда Московского округа от 02.09.2021 по делу № А40-88163/2020,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В отсутствие уважительных причин пропуска указанного срока ссылка заявителя на неистечение шестимесячного пресекательного срока не может быть принята во внимание.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«Больверк» о восстановлении пропущенного процессуального срока отказать. Жалобу возвратить заявителю.Судья Верховного Суда Российской Федерации А.Г. Першутов Суд: Верховный Суд РФ (подробнее) Истцы: ООО "Больверк" (подробнее) Ответчики: АО "АльфаСтрахование"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