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23.04.2021, оставленным без изменения постановлением Пятнадцатого арбитражного апелляционного суда от 31.08.2021, иск удовлетворен. Постановлением Арбитражного суда Северо-Кавказского округа от 08.12.2021 названные судебные акты оставлены без изменения. 2 Администрация обратилась в Верховный Суд Российской Федерации с кассационной жалобой, в которой просит принятые по делу судебные акты отменить, ссылаясь на нарушение судами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310, 450, 451, 523, 526 Гражданского кодекса Российской Федерации, статьи 95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суды, установив недоказанность несоответствия спорного объекта недвижимости условиям контракта, в том числе в части площади и конфигурации элементов конструкции помещения, пришли к выводу о незаконности одностороннего отказа администрации от исполнения контракта. Кроме того, суды отметили, что в нарушение положений контракта, администрация не направила в адрес предпринимателя претензии о несоответствии жилого помещения требованиям контракта и необходимости устранения выявленных недостатков. Доводы жалобы направлены на переоценку доказательств и установление иных фактических обстоятельств дела, выводы судов не опровергают и не являются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