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07.04.2021, оставленным без изменения постановлением Двадцать первого арбитражного апелляционного суда от 22.07.2021, в удовлетворении заявления отказано. 2 Постановлением Арбитражного суда Центрального округа от 16.12.2021 указанные судебные акты оставлены без изменения. Ассоциация просит обжалуемые судебные акты отменить, считая их незаконными и необоснованными, направить дело на новое рассмотрение в суд первой инстанции в ином составе. Между тем,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правонарушении. Следовательно, по истечении этого срока вопрос о привлечении к административной ответственности лица обсуждаться не может.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прав и законных интересов заявителя. При этом как следует из доводов жалобы, заявитель связывает нарушение своих интересов не с отказом в привлечении сбытовой организации к административной ответственности по статье 9.21 Кодекса Российской Федерации об административных правонарушениях, а с неправомерными действиями сотрудников антимонопольного органа, в связи с чем не лишен возможности восстановить нарушенное право в ином порядке. Нарушений норм процессуального права, являющихся основанием для отмены решения суда первой инстанции на основании части 4 статьи 270, части 4 статьи 288 Арбитражного процессуального кодекса Российской Федерации, по доводам жалобы не установлено. При указанных обстоятельствах доводы жалобы не могут быть признаны достаточным основанием для пересмотра обжалуемых судебных актов в кассационном порядке. 3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