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13.07.2021, оставленным без изменения постановлениями Девятого арбитражного апелляционного суда от 28.09.2021 и Арбитражного суда Московского округа от 08.12.2021, в удовлетворении заявления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ходе выездной налоговой проверки в отношении общества на основании постановлений о производстве выемки, изъятия документов и предметов инспекцией проведена выемка документов и предметов в занимаемых обществом помещениях. По результатам проведения осмотра и выемки налоговым органом составлен протокол от 15.12.2020 № 2 о производстве выемки, изъятия документов и предметов. Ссылаясь на многочисленные процедурные нарушения, допущенные инспекцией в ходе проведения спорного мероприятия налогового контроля, общество обратилось в арбитражный суд с требованием о признании незаконными действий по производству выемки, изъятия документов и предметов, оформленных протоколом от 15.12.2020 № 2.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31, 80, 82, 89, 92, 94 Налогового кодекса Российской Федерации (далее - Налоговый кодекс), суды пришли к выводу об отсутствии оснований для удовлетворения требований. Судебные инстанции исходили из того, что действия налогового органа соответствуют требованиям Налогового кодекса и не нарушают прав и законных интересов общества. При исследовании обстоятельств дела не установлены факты нарушений положений налогового законодательства при оформлении результатов проведенной выемки документов, злоупотребления должностными лицами инспекции своими правами при осуществлении выемки документов. Обстоятельства дела и представленные доказательства были предметом рассмотрения судов. Доводы кассационной жалобы, в том числе об участии при непосредственном производстве выемки, изъятия документов из кабинетов общества лишь одного понятого; о незаконном проникновении сотрудников инспекции в кабинет адвоката; порочности составленного протокола выемки, не отражающего наименования и реквизитов всех изъятых у общества первичных документов, а также электронных документов; о том, что обществу не было предложено добровольно выдать подлежащие изъятию документы и предметы, не свидетельствуют о неправильном применении судами норм материального и процессуального права, повлиявшем на исход дела, являлись предметом рассмотрения судов, получили надлежащую правовую оценку с учетом установленных обстоятельств дела и мотивированно отклонены. 3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«ПОС МЕДИА МАРКЕТ»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