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акты. Обществом подано ходатайство о зачете государственной пошлины в размере 3000 руб., уплаченной по платежному поручению от 12.01.2022 № 685362 за рассмотрение кассационной жалобы по делу № А65-30643/2019.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2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общества и представленные в его обоснование документы, суд приходит к выводу о наличии оснований для его удовлетворения. Руководствуясь статьями 104, 184, 185 Арбитражного процессуального кодекса Российской Федерации и статьями 333.21,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«Тандер» о зачете государственной пошлины удовлетворить. Зачесть уплаченную акционерным обществом «Тандер» государственную пошлину в размере 3000 руб., перечисленную по платежному поручению от 12.01.2022 № 685362, в счет уплаты государственной пошлины за рассмотрение кассационной жалобы на решение Арбитражного суда Республики Татарстан от 17.06.2021, постановление Одиннадцатого арбитражного апелляционного суда от 05.10.2021 и постановление Арбитражного суда Поволжского округа от 25.01.2022 по делу № А65-30221/2020.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