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налоговая служба в лице Управления Федеральной налоговой службы по Алтайскому краю обратилась в Арбитражный суд Алтайского края с иском, уточненным в порядке статьи 49 Арбитражного процессуального кодекса Российской Федерации, к обществу с ограниченной ответственностью «Компания СБ», обществу с ограниченной ответственностью «Дельта», обществу с ограниченной ответственностью Лизинговая компания «Сименс Финанс» о признании недействительным соглашения от 01.06.2020 № 01-06/2020 о передаче прав и обязанностей по договору финансовой аренды от 20.10.2017 № 55338-ФЛ/БР-17 (далее - договор лизинга), заключенного между ООО «Компания СБ» и ООО «Дельта», признании недействительным соглашения от 01.06.2020 об условиях передачи прав и обязанностей (перенайме) по договору, заключенного между ООО ЛК «Сименс Финанс», ООО «Компания СБ» и ООО «Дельта», по признакам мнимости сделок и применении последствий недействительности сделок в виде восстановления 2 прав и обязанностей ООО «Компания СБ» в качестве лизингополучателя по договору лизинга. К участию в деле в качестве третьих лиц, не заявляющих самостоятельных требований относительно предмета спора, привлечены временные управляющие ООО «Компания СБ» Сухова Оксана Николаевна и Жданова Алена Витальевна. Решением Арбитражного суда Алтайского края от 31.05.2021 иск удовлетворен. Постановлением Седьмого арбитражного апелляционного суда от 07.09.2021 решение суда первой инстанции оставлено без изменения. Арбитражный суд Западно-Сибирского округа постановлением от 23.12.2021 указанные судебные акты оставил без изменения. Общество с ограниченной ответственностью «Дельта»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в совершении спорных сделок отсутствовала экономическая целесообразность для ООО «Компания СБ», сделки совершены с участием заинтересованных лиц, в преддверии банкротства, с целью недопущения дальнейшей возможности обращения взыскания на имущество должника, руководствуясь положениями статей 1, 10, 170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3 раздела I части первой Гражданского кодекса Российской Федерации», суды пришли к выводу об обоснованности иска. Доводы, изложенные заявителем в кассационной жалобе, приводились при рассмотрении дела в судах, были рассмотрены судами и им дана надлежащая оценка. Эти доводы,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«Дельта»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