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в реестр требований кредиторов должника её требования в размере 91 370 821 рублей 92 копеек. Определением Арбитражного суда Курской области от 18.06.2019, оставленным без изменения постановлениями Девятнадцатого арбитражного апелляционного суда от 20.08.2019 и Арбитражного суда Центрального округа от 18.11.2019,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направить дело на новое рассмотрение в ином составе судей или принять по делу новый судебный акт. Исходя из доводов кассационной жалобы заявитель также не согласна с определением суда первой инстанции и постановлением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от заявителя на неё дополнений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807 , 809 Гражданского кодекса Российской Федерации, статьями 71, 100,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выводу об отсутствии оснований для удовлетворения заявления ввиду отсутствия доказательств, подтверждающих предоставление и расходование должником денежных средств в заявленном размере, наличие полномочий заявителя на заключение заёмной сделки и обоснование цели её заключения, способных исключить разумные сомнения в реальности долга.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"Стромир" (подробнее) Иные лица: Межрегиональное управление Федеральной службы по фин. мониторингу по Центральному фед. округу (подробнее) ООО "Корпорация ГЕРМЕС" (подробнее) ПАУ ЦФО - Ассоциация "Саморегулируемая органазизация арбитражных управляющих Центрального федерального округа" (подробнее) Промышленный суд г. Курска (подробнее) СУ УМВД России по г. Курску (подробнее) СУ УМВД России по Курской области (подробнее) УФНС РОССИИ ПО КУРСКОЙ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