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24.05.2021, оставленным без изменения постановлением Девятого арбитражного апелляционного суда от 13.08.2021 и постановлением Арбитражного суда Московского округа от 20.01.2022, заявление удовлетворено. В кассационной жалобе Иванова О.А. просит об отмене судебных актов, ссылаясь на несоответствие выводов судов обстоятельствам спора, отсутствие законных оснований для признания договора недействительным и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Заключение оспариваемого договора с нарушением пределов осуществления гражданских прав в ситуации существования обязательств перед кредитором, неисполнение которых привело к банкротству должника, установлено судами в рамках рассматриваемого заявления и по обстоятельствам принятых судом общей юрисдикции судебных актов и признано влекущим недействительность сделки в силу статей 10, 168 Гражданского кодекса Российской Федерации. Действия суда, которые должник считает процессуальным нарушением, таковыми не являются и не влекут кассационного пересмотра судебных актов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Ивановой Олесе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