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07.05.2021, оставленным без изменения постановлением Девятого арбитражного апелляционного суда от 06.08.2021 и постановлением Арбитражного суда Московского округа от 01.12.2021,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направить дело на новое рассмотрение в Арбитражный суд города Москвы. По смыслу части 1 статьи 291.1, части 7 статьи 291.6, статьи 291.11 Арбитражного процессуального кодекса Российской Федерации,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проанализировав условия заключенных сторонами договоров на изготовление и поставку оборудования, установив факт нарушения обществом обязательств по договорам, суды первой и апелляционной инстанций пришли к выводу о правомерности начисления предприятием штрафа и неустойки в соответствии с пунктами 7.3 и 7.4 договоров и, проверив и признав верным представленный предприятием расчет, удовлетворили исковые требования последнего в полном объеме. Суд округа поддержал выводы судов первой и апелляционной инстанций. Приведенные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«ФОРК-ТРЕЙД»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