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26.05.2021, оставленным без изменения постановлением Девятого арбитражного апелляционного суда от 05.08.2021 и постановлением Арбитражного суда Московского округа от 02.12.2021,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компанией в пользу общества предоплаты в заявленном размере, учитывая преюдициальные обстоятельства по обособленному спору в рамках дела № А40-218233/2018 о банкротстве компании, указывающие на отсутствие доказательств, подтверждающих наличие на стороне последней задолженности по договору, руководствуясь статьей 1102 Гражданского кодекса Российской Федерации, суды первой и апелляционной инстанций не усмотрели оснований для удержания обществом денежных средств, в связи с чем удовлетворили заявленные компанией требования. Суд округа согласился с выводами судов первой и апелляционной инстанций. Изложенные в кассационной жалобе доводы не свидетельствуют о наличии существенных нарушений норм материального права и (или) процессуального права, повлиявших на исход дела, и не могут служить достаточными основаниями для отмены обжалуемых судебных актов, принятых исходя из конкретных обстоятельств спора.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«Альдемар»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