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29.03.2021, оставленным без изменения постановлением Восьмого арбитражного апелляционного суда от 03.08.2021 и постановлением Арбитражного суда Западно-Сибирского округа от 02.12.2021,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Ханты-Мансийского автономного округа - Югры.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обжалуемых судебных актов, требования компании (поклажедатель) мотивированы тем, что общество (хранитель) не исполнило требование о возврате имущества, переданное последнему по договору хранения от 31.12.2018 № 3760018/5602 (ХР).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8, 12, 15, 393, 886, 889, 900, 901, 904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исходя из подтвержденности факта передачи компанией имущества на хранение обществу и отсутствия доказательств его возврата, суды первой и апелляционной инстанций пришли к выводу о наличии оснований для удовлетворения иска о взыскании с ответчика суммы убытков, составляющих стоимость невозвращенного им имущества. Суд округа поддержал выводы судов первой и апелляционной инстанций. Приведенные в кассационной жалобе доводы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«СибирьПартнер»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