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«Раменское приборостроительное конструкторское бюро» (далее – Общество) обратилось в Арбитражный суд города Москвы с иском к Критину Тарасу Борисовичу о взыскании 73 997 801 рубля 84 копеек убытков, 21 594 079 рублей 36 копеек процентов за пользование чужими денежными средствами с их последующим начислением по дату фактической уплаты долга. Решением Арбитражного суда города Москвы от 11.06.2021, оставленным без изменения постановлением Девятого арбитражного апелляционного суда от 09.09.2021 и постановлением Арбитражного суда Московского округа от 15.12.2021,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наличие доказательств недобросовестных действий ответчика и соответственно, оснований для удовлетворения требований.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05.06.2020 Общество, указывая на ненадлежащее исполнение обязательств по договору поставки от 17.12.2015 № 224Ф, обратилось в Арбитражный суд города Москвы с иском к обществу с ограниченной ответственностью «Актив» (далее – Компания) о взыскании 73 997 801 рубля 84 копеек неотработанного аванса и процентов за пользование чужими денежными средствами. Определением Арбитражного суда города Москвы от 24.09.2020 производство по делу было прекращено по причине исключения 27.08.2020 Компании из Единого государственного реестра юридических лиц (далее – ЕГРЮЛ) в связи с наличием сведений, в отношении которых внесена запись о недостоверности в порядке статьи 21.1 Федерального закона от 08.08.2001 № 129-ФЗ «О государственной регистрации юридических лиц и индивидуальных предпринимателей». Как указал истец, ответчик с 13.02.2013 являлся участником Компании, а с 25.09.2017 его директором. Поскольку взыскать задолженность с Компании не представляется возможным, Общество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53.1 Гражданского кодекса Российской Федерации (далее – Гражданский кодекс), пунктом 3.1 статьи 3 Федерального закона от 08.02.1998 № 14-ФЗ «Об обществах с ограниченной ответственностью», разъяснениями, изложенными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суды отказали в удовлетворении требований, не установив недобросовестности либо неразумности действий ответчика, повлекших неисполнение Компанией обязательств. По смыслу статей 53.1, 64.2 Гражданского кодекса привлечение к субсидиарной ответственности участника или исполнительного органа возможно при наличии совокупности состава правонарушения, включая виновные действия (бездействие) контролирующих лиц, повлекших невозможность исполнения денежных обязательств перед кредитором, причинно-следственную связь и причинения этими действиями (бездействием) убытков. 3 Наличие у Компании, впоследствии исключенной из ЕГРЮЛ, неисполненного обязательства, само по себе не может являться бесспорным доказательством вины ответчика. Кроме того, судами учтено, что согласно сведениям ЕГРЮЛ, информация о недостоверности адреса Компании были внесены 21.10.2019, то есть по истечении восьми месяцев после окончания у ответчика полномочий директора, что свидетельствует о том, что он не мог повлиять на внесение достоверных сведений в реестр.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«Раменское приборостроительное конструкторское бюро»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