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Самиева Ильдара Рафиковича государственная корпорация развития «ВЭБ РФ» обратилась в Арбитражный суд города Москвы с заявлением о включении задолженности в реестр требований кредиторов должника. Определением Арбитражного суда города Москвы от 18.06.2021 в реестр требований кредиторов должника включено требование государственной корпорации развития «ВЭБ РФ» в размере 1 632 359 037 рублей 93 копеек основного долга в третью очередь; 921 357 169 рублей 76 копеек неустойки, 732 594 990 рублей 04 копеек мораторных процентов в третью очередь отдельно, как подлежащих удовлетворению после погашения основной суммы задолженности и причитающихся процентов. Постановлением Девятого арбитражного апелляционного суда от 21.09.2021 определение суда первой инстанции оставлено без изменения. Арбитражный суд Московского округа постановлением от 09.12.2021 указанные судебные акты оставил без изменения. 2 Самиев Ильдар Рафикович обратился в Судебную коллегию по экономическим спорам Верховного Суда Российской Федерации с кассационной жалобой на принятые по спору судебные акты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требование кредитора обоснованным и подлежащим включению в реестр требований кредиторов должника, суды руководствовались положениями статей 4, 71, 100, 134, 213.24 Федерального закона от 26.10.2002 № 127-ФЗ «О несостоятельности (банкротстве)», статьями 363, 819 Гражданского кодекса Российской Федерации, исходили из установленных фактических обстоятельств, условий договора поручительства, обстоятельств, установленных вступившим в законную силу судебным актом суда общей юрисдикции, признав доказанными наличие и размер задолженности. В связи с непредставлением должником доказательств явной несоразмерности начисленных штрафных санкций последствиям нарушения обязательства, суды отклонили ходатайство о применении положений статьи 333 Гражданского кодекса Российской Федерации. Несогласие заявителя кассационной жалобы с данной судами оценкой фактических обстоятельств спора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Самиеву Ильдару Рафиковичу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