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28.03.2022 направило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Первоначально поданная (24.02.2022 – согласно штампу на почтовом конверте) с пропуском двухмесячного срока жалоба возвращена заявителю на основании пункта 3 части 1 статьи 2915 Арбитражного процессуального кодекса Российской Федерации. При этом заявитель не был лишен возможности изначально обратиться с ходатайством о восстановлении пропущенного срока ее подачи, тем самым снизив негативные последствия пропуска указанного срока. Нарушение порядка подачи кассационной жалобы,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 качестве первоначальной причины пропуска срока заявитель сослался на несвоевременное получение копий обжалуемых судебных актов. Между тем, как следует из информационного ресурса «Картотека арбитражных дел», судебные акты были опубликовано в общедоступной базе судебных актов в отведенный срок, инициатором подачи заявления и последующего обжалования являлся сам заявитель. Заявитель знал о состоявшихся судебных актах, и, намереваясь их обжаловать, имел возможность в предусмотренный законодательством срок в соответствии с установленными требованиями принять своевременные меры, необходимые для подготовки и подачи кассационной жалобы. При этом арбитражным процессуальным законодательством предусмотрено исчисление срока на обжалование с момента вступления в законную силу последнего обжалуемого судебного акта, а не с момента его получения. 3 В соответствии с частями 1 и 6 статьи 2913 Арбитражного процессуального кодекса Российской Федерации, общество имело возможность своевременно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при том, что согласно Порядку подачи документов в электронном виде с использованием указанной системы не требуется получение заверенных копий обжалуемых судебных актов. Объективных и не зависящих от заявителя причин, препятствующих подать кассационную жалобу в установленный законом срок, не установлено.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В связи с изложенным ходатайство о восстановлении пропущенного процессуального срока подлежит оставлению без удовлетворения, а кассационная жалоба - возвращению заявителю.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«Союз-Агро Самара»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