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14.04.2021, оставленным без изменения постановлением Первого арбитражного апелляционного суда от 07.09.2021 и постановлением Арбитражного суда Волго-Вятского округа от 08.12.2021, в удовлетворении заявления отказано. В кассационной жалобе Прыгунова М.П. просит об отмене судебных актов, ссылаясь на игнорирование существенных нарушений при проведении торгов и всех приведенных в обоснование этого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 процедуры проведения торгов, продажу имущества по наибольшей предложенной цене, поэтому в силу статей 110, 111, 139, 213.25,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оснований для признания торгов недействительными. Доводы должника о наличии ареста имущества, отсутствии специального счета для учета задатков были предметом рассмотрения судов и мотивированно отклонены. От административной ответственности за действия в пределах торгов финансовый управляющий освобожден судом. Отсутствие выводов по другим доводам, на которые указывал должник, не означает того, что они не учитывались судами при принятии судебных актов и влияют на их существо и на их судьбу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Прыгуновой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