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30.03.2021, оставленным без изменения постановлением Девятого арбитражного апелляционного суда от 25.06.2021 и постановлением Арбитражного суда Московского округа от 24.11.2021, заявление удовлетворено. В кассационной жалобе Липко А.Н. просит об отмене судебных актов вследствие недоказанности условий для недействительности переводов и пропуска срока исковой давности финансовым управляющим.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перечисление должником денежных средств на счет заинтересованных лиц (сына, супруги) в период возникновения существенных финансовых проблем у организаций, по обязательствам которых поручился должник, в качестве условий для признания сделки недействительной в силу пункта 2 статьи 61.2 Федерального закона от 26.10.2002 № 127-ФЗ «О несостоятельности (банкротстве)». Начало течения для финансового управляющего срока исковой давности для оспаривания сделок определено по правилу статьи 200 Гражданского кодекса Российской Федерации и статьи 61.9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Липко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