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17.03.2021 в удовлетворении заявления отказано. Девятый арбитражный апелляционный суд, рассмотрев обособленный спор по правилам для суда первой инстанции, постановлением от 19.08.2021 отменил определение от 17.03.2021 и в удовлетворении заявления отказал. Арбитражный суд Московского округа постановлением от 08.12.2021 постановление суда апелляционной инстанции от 19.08.2021 оставил без изменения. В кассационной жалобе Шуркевич А.В. просит об отмене судебных актов апелляционного и окружного судов, ссылаясь на неполное выяснение обстоятельств и недоказанность бывшей супругой должника происхождения денежных средств для приобретения имущества.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рассмотрел спор по правилам для суда первой инстанции, поэтому правомерно приобщил представленные ему доказательства приобретения имущества супругой должника и оценил их применительно к статьям 34, 39, 45 Семейного кодекса Российской Федерации, статьям 213.25, 213.26 Федерального закона от 26.10.2002 № 127-ФЗ «О несостоятельности (банкротстве)». Требуемая переоценка установленных обстоятельств и оспаривание компетенции судов в вопросах оценки доказательств не попадают под основания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Шуркевичу А.В.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